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61" w:rsidRDefault="00DE75D6" w:rsidP="005B2661">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D7E6B">
        <w:rPr>
          <w:rFonts w:cs="Arial"/>
          <w:b/>
          <w:sz w:val="28"/>
        </w:rPr>
        <w:t xml:space="preserve">2018/19 </w:t>
      </w:r>
      <w:r w:rsidR="001C08EF">
        <w:rPr>
          <w:rFonts w:cs="Arial"/>
          <w:b/>
          <w:sz w:val="28"/>
        </w:rPr>
        <w:t>–</w:t>
      </w:r>
      <w:r w:rsidR="003608DF">
        <w:rPr>
          <w:rFonts w:cs="Arial"/>
          <w:b/>
          <w:sz w:val="28"/>
        </w:rPr>
        <w:t xml:space="preserve"> </w:t>
      </w:r>
      <w:r w:rsidR="0004599A">
        <w:rPr>
          <w:rFonts w:cs="Arial"/>
          <w:b/>
          <w:sz w:val="28"/>
        </w:rPr>
        <w:t>June</w:t>
      </w:r>
      <w:r w:rsidR="00C013BA">
        <w:rPr>
          <w:rFonts w:cs="Arial"/>
          <w:b/>
          <w:sz w:val="28"/>
        </w:rPr>
        <w:t xml:space="preserve"> 2018</w:t>
      </w:r>
    </w:p>
    <w:p w:rsidR="00ED7E6B" w:rsidRDefault="00ED7E6B" w:rsidP="00C013BA">
      <w:pPr>
        <w:rPr>
          <w:rFonts w:cs="Arial"/>
          <w:b/>
        </w:rPr>
      </w:pPr>
    </w:p>
    <w:p w:rsidR="0004599A" w:rsidRDefault="0004599A" w:rsidP="00C013BA">
      <w:pPr>
        <w:rPr>
          <w:rFonts w:cs="Arial"/>
          <w:b/>
        </w:rPr>
      </w:pPr>
      <w:r>
        <w:rPr>
          <w:rFonts w:cs="Arial"/>
          <w:b/>
        </w:rPr>
        <w:t>13 June</w:t>
      </w:r>
      <w:r w:rsidR="00ED7E6B">
        <w:rPr>
          <w:rFonts w:cs="Arial"/>
          <w:b/>
        </w:rPr>
        <w:t xml:space="preserve"> CITY EXECUTIVE BOARD</w:t>
      </w:r>
    </w:p>
    <w:p w:rsidR="0004599A" w:rsidRDefault="0004599A" w:rsidP="00C013BA">
      <w:pPr>
        <w:rPr>
          <w:rFonts w:cs="Arial"/>
          <w:b/>
        </w:rPr>
      </w:pPr>
    </w:p>
    <w:p w:rsidR="005B2661" w:rsidRDefault="0004599A" w:rsidP="00C013BA">
      <w:pPr>
        <w:rPr>
          <w:rFonts w:cs="Arial"/>
          <w:b/>
        </w:rPr>
      </w:pPr>
      <w:r>
        <w:rPr>
          <w:rFonts w:cs="Arial"/>
          <w:b/>
        </w:rPr>
        <w:t xml:space="preserve">Fusion Lifestyle Annual Service Plan and Performance Dashboard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599A" w:rsidRPr="00AC577F" w:rsidTr="0004599A">
        <w:tc>
          <w:tcPr>
            <w:tcW w:w="6629" w:type="dxa"/>
            <w:shd w:val="clear" w:color="auto" w:fill="D9D9D9"/>
            <w:vAlign w:val="center"/>
          </w:tcPr>
          <w:p w:rsidR="0004599A" w:rsidRPr="00AC577F" w:rsidRDefault="0004599A" w:rsidP="00C94088">
            <w:pPr>
              <w:rPr>
                <w:rFonts w:cs="Arial"/>
                <w:b/>
                <w:i/>
              </w:rPr>
            </w:pPr>
            <w:r w:rsidRPr="00AC577F">
              <w:rPr>
                <w:rFonts w:cs="Arial"/>
                <w:b/>
                <w:i/>
              </w:rPr>
              <w:t>Recommendation</w:t>
            </w:r>
          </w:p>
        </w:tc>
        <w:tc>
          <w:tcPr>
            <w:tcW w:w="1134" w:type="dxa"/>
            <w:shd w:val="clear" w:color="auto" w:fill="D9D9D9"/>
            <w:vAlign w:val="center"/>
          </w:tcPr>
          <w:p w:rsidR="0004599A" w:rsidRPr="00AC577F" w:rsidRDefault="0004599A" w:rsidP="00C94088">
            <w:pPr>
              <w:rPr>
                <w:rFonts w:cs="Arial"/>
                <w:b/>
                <w:i/>
              </w:rPr>
            </w:pPr>
            <w:r w:rsidRPr="00AC577F">
              <w:rPr>
                <w:rFonts w:cs="Arial"/>
                <w:b/>
                <w:i/>
              </w:rPr>
              <w:t xml:space="preserve">Agree? </w:t>
            </w:r>
          </w:p>
        </w:tc>
        <w:tc>
          <w:tcPr>
            <w:tcW w:w="6520" w:type="dxa"/>
            <w:shd w:val="clear" w:color="auto" w:fill="D9D9D9"/>
            <w:vAlign w:val="center"/>
          </w:tcPr>
          <w:p w:rsidR="0004599A" w:rsidRPr="00AC577F" w:rsidRDefault="0004599A" w:rsidP="00C94088">
            <w:pPr>
              <w:rPr>
                <w:rFonts w:cs="Arial"/>
                <w:b/>
                <w:i/>
              </w:rPr>
            </w:pPr>
            <w:r w:rsidRPr="00AC577F">
              <w:rPr>
                <w:rFonts w:cs="Arial"/>
                <w:b/>
                <w:i/>
              </w:rPr>
              <w:t>Comment</w:t>
            </w:r>
          </w:p>
        </w:tc>
      </w:tr>
      <w:tr w:rsidR="0004599A" w:rsidRPr="00AC577F" w:rsidTr="0004599A">
        <w:trPr>
          <w:trHeight w:val="305"/>
        </w:trPr>
        <w:tc>
          <w:tcPr>
            <w:tcW w:w="6629" w:type="dxa"/>
            <w:shd w:val="clear" w:color="auto" w:fill="auto"/>
          </w:tcPr>
          <w:p w:rsidR="0004599A" w:rsidRDefault="0004599A" w:rsidP="0004599A">
            <w:pPr>
              <w:pStyle w:val="ListParagraph"/>
              <w:numPr>
                <w:ilvl w:val="0"/>
                <w:numId w:val="20"/>
              </w:numPr>
              <w:tabs>
                <w:tab w:val="left" w:pos="426"/>
              </w:tabs>
              <w:ind w:left="426" w:hanging="426"/>
              <w:contextualSpacing w:val="0"/>
            </w:pPr>
            <w:r w:rsidRPr="00EE5837">
              <w:t>That the overall visitor numbers target set for Fusion Lifestyle leisure centres is reviewed to take account of emerging market pressures. Despite previous years of success, consideration should be given to whether the 3% year on year increase remains realistic and achievable.</w:t>
            </w:r>
          </w:p>
          <w:p w:rsidR="0004599A" w:rsidRPr="00EE5837" w:rsidRDefault="0004599A" w:rsidP="0004599A">
            <w:pPr>
              <w:tabs>
                <w:tab w:val="left" w:pos="426"/>
              </w:tabs>
            </w:pPr>
          </w:p>
        </w:tc>
        <w:tc>
          <w:tcPr>
            <w:tcW w:w="1134" w:type="dxa"/>
            <w:shd w:val="clear" w:color="auto" w:fill="auto"/>
          </w:tcPr>
          <w:p w:rsidR="0004599A" w:rsidRPr="00AC577F" w:rsidRDefault="0004599A" w:rsidP="00C94088">
            <w:pPr>
              <w:rPr>
                <w:rFonts w:cs="Arial"/>
              </w:rPr>
            </w:pPr>
            <w:r>
              <w:rPr>
                <w:rFonts w:cs="Arial"/>
              </w:rPr>
              <w:t>No</w:t>
            </w:r>
          </w:p>
        </w:tc>
        <w:tc>
          <w:tcPr>
            <w:tcW w:w="6520" w:type="dxa"/>
            <w:shd w:val="clear" w:color="auto" w:fill="auto"/>
          </w:tcPr>
          <w:p w:rsidR="0004599A" w:rsidRPr="00AC577F" w:rsidRDefault="0004599A" w:rsidP="00C94088">
            <w:pPr>
              <w:pStyle w:val="ListParagraph"/>
              <w:ind w:left="0"/>
              <w:contextualSpacing w:val="0"/>
              <w:rPr>
                <w:rFonts w:cs="Arial"/>
              </w:rPr>
            </w:pPr>
            <w:r>
              <w:rPr>
                <w:rFonts w:cs="Arial"/>
              </w:rPr>
              <w:t xml:space="preserve">The new year has started positively and we are still ambitious for the contract so would want to stick with the current targets. </w:t>
            </w:r>
          </w:p>
        </w:tc>
      </w:tr>
      <w:tr w:rsidR="0004599A" w:rsidRPr="00AC577F" w:rsidTr="0004599A">
        <w:trPr>
          <w:trHeight w:val="305"/>
        </w:trPr>
        <w:tc>
          <w:tcPr>
            <w:tcW w:w="6629" w:type="dxa"/>
            <w:shd w:val="clear" w:color="auto" w:fill="auto"/>
          </w:tcPr>
          <w:p w:rsidR="0004599A" w:rsidRPr="00EE5837" w:rsidRDefault="0004599A" w:rsidP="0004599A">
            <w:pPr>
              <w:pStyle w:val="ListParagraph"/>
              <w:numPr>
                <w:ilvl w:val="0"/>
                <w:numId w:val="20"/>
              </w:numPr>
              <w:tabs>
                <w:tab w:val="left" w:pos="426"/>
              </w:tabs>
              <w:ind w:left="426" w:hanging="426"/>
              <w:contextualSpacing w:val="0"/>
            </w:pPr>
            <w:r w:rsidRPr="00EE5837">
              <w:t xml:space="preserve">That an action plan is developed to address the decline in the total number of visits recorded and is made available to members for review.  </w:t>
            </w:r>
          </w:p>
          <w:p w:rsidR="0004599A" w:rsidRPr="00EE5837" w:rsidRDefault="0004599A" w:rsidP="00C94088">
            <w:pPr>
              <w:pStyle w:val="ListParagraph"/>
              <w:tabs>
                <w:tab w:val="left" w:pos="7335"/>
              </w:tabs>
              <w:ind w:left="0"/>
              <w:rPr>
                <w:rFonts w:cs="Arial"/>
              </w:rPr>
            </w:pPr>
          </w:p>
        </w:tc>
        <w:tc>
          <w:tcPr>
            <w:tcW w:w="1134" w:type="dxa"/>
            <w:shd w:val="clear" w:color="auto" w:fill="auto"/>
          </w:tcPr>
          <w:p w:rsidR="0004599A" w:rsidRPr="00AC577F" w:rsidRDefault="0004599A" w:rsidP="00C94088">
            <w:pPr>
              <w:rPr>
                <w:rFonts w:cs="Arial"/>
              </w:rPr>
            </w:pPr>
            <w:r>
              <w:rPr>
                <w:rFonts w:cs="Arial"/>
              </w:rPr>
              <w:t>Yes</w:t>
            </w:r>
          </w:p>
        </w:tc>
        <w:tc>
          <w:tcPr>
            <w:tcW w:w="6520" w:type="dxa"/>
            <w:shd w:val="clear" w:color="auto" w:fill="auto"/>
          </w:tcPr>
          <w:p w:rsidR="0004599A" w:rsidRPr="00AC577F" w:rsidRDefault="0004599A" w:rsidP="00C94088">
            <w:pPr>
              <w:pStyle w:val="ListParagraph"/>
              <w:ind w:left="0"/>
              <w:contextualSpacing w:val="0"/>
              <w:rPr>
                <w:rFonts w:cs="Arial"/>
              </w:rPr>
            </w:pPr>
            <w:r>
              <w:rPr>
                <w:rFonts w:cs="Arial"/>
              </w:rPr>
              <w:t>The Annual Service Plan is very much this plan and all the actions are targeted are getting more people active in our centres.</w:t>
            </w:r>
          </w:p>
        </w:tc>
      </w:tr>
      <w:tr w:rsidR="0004599A" w:rsidRPr="00AC577F" w:rsidTr="0004599A">
        <w:trPr>
          <w:trHeight w:val="305"/>
        </w:trPr>
        <w:tc>
          <w:tcPr>
            <w:tcW w:w="6629" w:type="dxa"/>
            <w:shd w:val="clear" w:color="auto" w:fill="auto"/>
          </w:tcPr>
          <w:p w:rsidR="0004599A" w:rsidRPr="000104BD" w:rsidRDefault="0004599A" w:rsidP="0004599A">
            <w:pPr>
              <w:pStyle w:val="ListParagraph"/>
              <w:numPr>
                <w:ilvl w:val="0"/>
                <w:numId w:val="20"/>
              </w:numPr>
              <w:tabs>
                <w:tab w:val="left" w:pos="426"/>
              </w:tabs>
              <w:ind w:left="426" w:hanging="426"/>
              <w:contextualSpacing w:val="0"/>
              <w:rPr>
                <w:rFonts w:cs="Arial"/>
              </w:rPr>
            </w:pPr>
            <w:r w:rsidRPr="00EE5837">
              <w:t>That quarterly quantitative data is made available (which the Scrutiny Committee will monitor) to enable the Council to better understand Fusion Lifestyle’s performance in additional key areas, such as the proportion of calls answered, trends in staffing numbers and turnover, and responsiveness to repairs.</w:t>
            </w:r>
          </w:p>
          <w:p w:rsidR="0004599A" w:rsidRPr="000104BD" w:rsidRDefault="0004599A" w:rsidP="00C94088">
            <w:pPr>
              <w:pStyle w:val="ListParagraph"/>
              <w:tabs>
                <w:tab w:val="left" w:pos="426"/>
              </w:tabs>
              <w:ind w:left="426"/>
              <w:contextualSpacing w:val="0"/>
              <w:rPr>
                <w:rFonts w:cs="Arial"/>
              </w:rPr>
            </w:pPr>
          </w:p>
        </w:tc>
        <w:tc>
          <w:tcPr>
            <w:tcW w:w="1134" w:type="dxa"/>
            <w:shd w:val="clear" w:color="auto" w:fill="auto"/>
          </w:tcPr>
          <w:p w:rsidR="0004599A" w:rsidRPr="00AC577F" w:rsidRDefault="0004599A" w:rsidP="00C94088">
            <w:pPr>
              <w:rPr>
                <w:rFonts w:cs="Arial"/>
              </w:rPr>
            </w:pPr>
            <w:r>
              <w:rPr>
                <w:rFonts w:cs="Arial"/>
              </w:rPr>
              <w:t>In part</w:t>
            </w:r>
          </w:p>
        </w:tc>
        <w:tc>
          <w:tcPr>
            <w:tcW w:w="6520" w:type="dxa"/>
            <w:shd w:val="clear" w:color="auto" w:fill="auto"/>
          </w:tcPr>
          <w:p w:rsidR="0004599A" w:rsidRPr="00AC577F" w:rsidRDefault="0004599A" w:rsidP="00C94088">
            <w:pPr>
              <w:pStyle w:val="ListParagraph"/>
              <w:tabs>
                <w:tab w:val="left" w:pos="426"/>
              </w:tabs>
              <w:ind w:left="0"/>
              <w:contextualSpacing w:val="0"/>
              <w:rPr>
                <w:rFonts w:cs="Arial"/>
              </w:rPr>
            </w:pPr>
            <w:r>
              <w:rPr>
                <w:rFonts w:cs="Arial"/>
              </w:rPr>
              <w:t xml:space="preserve">We will review what information can be added to the Council’s quarterly performance report.   </w:t>
            </w:r>
          </w:p>
        </w:tc>
      </w:tr>
      <w:tr w:rsidR="0004599A" w:rsidRPr="00AC577F" w:rsidTr="0004599A">
        <w:trPr>
          <w:trHeight w:val="305"/>
        </w:trPr>
        <w:tc>
          <w:tcPr>
            <w:tcW w:w="6629" w:type="dxa"/>
            <w:shd w:val="clear" w:color="auto" w:fill="auto"/>
          </w:tcPr>
          <w:p w:rsidR="0004599A" w:rsidRPr="00EE5837" w:rsidRDefault="0004599A" w:rsidP="0004599A">
            <w:pPr>
              <w:pStyle w:val="ListParagraph"/>
              <w:numPr>
                <w:ilvl w:val="0"/>
                <w:numId w:val="20"/>
              </w:numPr>
              <w:tabs>
                <w:tab w:val="left" w:pos="426"/>
              </w:tabs>
              <w:ind w:left="426" w:hanging="426"/>
              <w:contextualSpacing w:val="0"/>
            </w:pPr>
            <w:r w:rsidRPr="00EE5837">
              <w:t xml:space="preserve">That further marketing, publicity and engagement activities are undertaken to raise awareness of swimming opportunities and concessions for u17s, older people, and members of the BAME community. Specifically, there should be more engagement at a local level, such as with schools and playgroups in the </w:t>
            </w:r>
            <w:proofErr w:type="spellStart"/>
            <w:r w:rsidRPr="00EE5837">
              <w:t>Hinksey</w:t>
            </w:r>
            <w:proofErr w:type="spellEnd"/>
            <w:r w:rsidRPr="00EE5837">
              <w:t xml:space="preserve"> Park area to promote learn to swim initiatives, and make better use of the </w:t>
            </w:r>
            <w:r>
              <w:t>outdoor pool.</w:t>
            </w:r>
          </w:p>
        </w:tc>
        <w:tc>
          <w:tcPr>
            <w:tcW w:w="1134" w:type="dxa"/>
            <w:shd w:val="clear" w:color="auto" w:fill="auto"/>
          </w:tcPr>
          <w:p w:rsidR="0004599A" w:rsidRPr="00AC577F" w:rsidRDefault="0004599A" w:rsidP="00C94088">
            <w:pPr>
              <w:rPr>
                <w:rFonts w:cs="Arial"/>
              </w:rPr>
            </w:pPr>
            <w:r>
              <w:rPr>
                <w:rFonts w:cs="Arial"/>
              </w:rPr>
              <w:t>Yes</w:t>
            </w:r>
          </w:p>
        </w:tc>
        <w:tc>
          <w:tcPr>
            <w:tcW w:w="6520" w:type="dxa"/>
            <w:shd w:val="clear" w:color="auto" w:fill="auto"/>
          </w:tcPr>
          <w:p w:rsidR="0004599A" w:rsidRPr="00AC577F" w:rsidRDefault="0004599A" w:rsidP="00C94088">
            <w:pPr>
              <w:pStyle w:val="ListParagraph"/>
              <w:ind w:left="0"/>
              <w:contextualSpacing w:val="0"/>
              <w:rPr>
                <w:rFonts w:cs="Arial"/>
              </w:rPr>
            </w:pPr>
            <w:r>
              <w:rPr>
                <w:rFonts w:cs="Arial"/>
              </w:rPr>
              <w:t>We have a detailed marketing plan and the headlines are included in the Annual Service Plan. However, we will further review how we can increase attendance in target groups.</w:t>
            </w:r>
          </w:p>
        </w:tc>
      </w:tr>
    </w:tbl>
    <w:p w:rsidR="00ED7E6B" w:rsidRDefault="00ED7E6B"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C013BA">
      <w:pPr>
        <w:rPr>
          <w:rFonts w:cs="Arial"/>
          <w:b/>
        </w:rPr>
      </w:pPr>
    </w:p>
    <w:p w:rsidR="0004599A" w:rsidRDefault="0004599A" w:rsidP="00C013BA">
      <w:pPr>
        <w:rPr>
          <w:rFonts w:cs="Arial"/>
          <w:b/>
        </w:rPr>
      </w:pPr>
      <w:r>
        <w:rPr>
          <w:rFonts w:cs="Arial"/>
          <w:b/>
        </w:rPr>
        <w:t>Safeguarding Annual Report 2017/18</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599A" w:rsidRPr="0095333C" w:rsidTr="00C94088">
        <w:tc>
          <w:tcPr>
            <w:tcW w:w="6629" w:type="dxa"/>
            <w:shd w:val="clear" w:color="auto" w:fill="D9D9D9"/>
            <w:vAlign w:val="center"/>
          </w:tcPr>
          <w:p w:rsidR="0004599A" w:rsidRPr="0095333C" w:rsidRDefault="0004599A" w:rsidP="00C94088">
            <w:pPr>
              <w:rPr>
                <w:rFonts w:cs="Arial"/>
                <w:b/>
                <w:i/>
              </w:rPr>
            </w:pPr>
            <w:r w:rsidRPr="0095333C">
              <w:rPr>
                <w:rFonts w:cs="Arial"/>
                <w:b/>
                <w:i/>
              </w:rPr>
              <w:t>Recommendation</w:t>
            </w:r>
          </w:p>
        </w:tc>
        <w:tc>
          <w:tcPr>
            <w:tcW w:w="1134" w:type="dxa"/>
            <w:shd w:val="clear" w:color="auto" w:fill="D9D9D9"/>
            <w:vAlign w:val="center"/>
          </w:tcPr>
          <w:p w:rsidR="0004599A" w:rsidRPr="0095333C" w:rsidRDefault="0004599A" w:rsidP="00C94088">
            <w:pPr>
              <w:rPr>
                <w:rFonts w:cs="Arial"/>
                <w:b/>
                <w:i/>
              </w:rPr>
            </w:pPr>
            <w:r w:rsidRPr="0095333C">
              <w:rPr>
                <w:rFonts w:cs="Arial"/>
                <w:b/>
                <w:i/>
              </w:rPr>
              <w:t xml:space="preserve">Agree? </w:t>
            </w:r>
          </w:p>
        </w:tc>
        <w:tc>
          <w:tcPr>
            <w:tcW w:w="6520" w:type="dxa"/>
            <w:shd w:val="clear" w:color="auto" w:fill="D9D9D9"/>
            <w:vAlign w:val="center"/>
          </w:tcPr>
          <w:p w:rsidR="0004599A" w:rsidRPr="0095333C" w:rsidRDefault="0004599A" w:rsidP="00C94088">
            <w:pPr>
              <w:rPr>
                <w:rFonts w:cs="Arial"/>
                <w:b/>
                <w:i/>
              </w:rPr>
            </w:pPr>
            <w:r w:rsidRPr="0095333C">
              <w:rPr>
                <w:rFonts w:cs="Arial"/>
                <w:b/>
                <w:i/>
              </w:rPr>
              <w:t>Comment</w:t>
            </w:r>
          </w:p>
        </w:tc>
      </w:tr>
      <w:tr w:rsidR="0004599A" w:rsidRPr="0095333C" w:rsidTr="00C94088">
        <w:trPr>
          <w:trHeight w:val="6111"/>
        </w:trPr>
        <w:tc>
          <w:tcPr>
            <w:tcW w:w="6629" w:type="dxa"/>
            <w:shd w:val="clear" w:color="auto" w:fill="auto"/>
          </w:tcPr>
          <w:p w:rsidR="0004599A" w:rsidRPr="0095333C" w:rsidRDefault="0004599A" w:rsidP="0004599A">
            <w:pPr>
              <w:numPr>
                <w:ilvl w:val="0"/>
                <w:numId w:val="21"/>
              </w:numPr>
              <w:rPr>
                <w:iCs/>
              </w:rPr>
            </w:pPr>
            <w:r w:rsidRPr="0095333C">
              <w:rPr>
                <w:iCs/>
              </w:rPr>
              <w:t>That the Council works with partners, such as the Oxfordshire Safeguarding Board, to gather data on the number of school aged children that receive face to face safeguarding awareness training, such as that delivered by the youth ambition team, to better understand the reach of safeguarding work in Oxford. Once collated, this should be shared with partners such as the Children’s Trust, together with any evaluation and analysis.</w:t>
            </w:r>
          </w:p>
          <w:p w:rsidR="0004599A" w:rsidRPr="0095333C" w:rsidRDefault="0004599A" w:rsidP="00C94088">
            <w:pPr>
              <w:pStyle w:val="ListParagraph"/>
              <w:spacing w:after="120"/>
              <w:ind w:left="0"/>
              <w:contextualSpacing w:val="0"/>
            </w:pPr>
          </w:p>
        </w:tc>
        <w:tc>
          <w:tcPr>
            <w:tcW w:w="1134" w:type="dxa"/>
            <w:shd w:val="clear" w:color="auto" w:fill="auto"/>
          </w:tcPr>
          <w:p w:rsidR="0004599A" w:rsidRPr="0095333C" w:rsidRDefault="0004599A" w:rsidP="00C94088">
            <w:pPr>
              <w:rPr>
                <w:rFonts w:cs="Arial"/>
              </w:rPr>
            </w:pPr>
            <w:r>
              <w:rPr>
                <w:rFonts w:cs="Arial"/>
              </w:rPr>
              <w:t>Yes</w:t>
            </w:r>
          </w:p>
        </w:tc>
        <w:tc>
          <w:tcPr>
            <w:tcW w:w="6520" w:type="dxa"/>
            <w:shd w:val="clear" w:color="auto" w:fill="auto"/>
          </w:tcPr>
          <w:p w:rsidR="0004599A" w:rsidRPr="0095333C" w:rsidRDefault="0004599A" w:rsidP="00C94088">
            <w:pPr>
              <w:spacing w:before="100" w:beforeAutospacing="1" w:after="100" w:afterAutospacing="1"/>
            </w:pPr>
            <w:r w:rsidRPr="0095333C">
              <w:t>The City Council will work with the Local Authority Designated Officer (LADO) in the County Council to collate, evaluate and analyse data on safeguarding awareness training in Oxford City Schools, which can then be shared with partners as soon as it available later this year, and will be included in the 2019 Safeguarding Report for review by Scrutiny.</w:t>
            </w:r>
          </w:p>
          <w:p w:rsidR="0004599A" w:rsidRPr="0095333C" w:rsidRDefault="0004599A" w:rsidP="00C94088">
            <w:pPr>
              <w:spacing w:before="100" w:beforeAutospacing="1" w:after="100" w:afterAutospacing="1"/>
            </w:pPr>
            <w:r w:rsidRPr="0095333C">
              <w:t>Safeguarding in schools is addressed in the curriculum under PSHE</w:t>
            </w:r>
            <w:r w:rsidRPr="0095333C">
              <w:rPr>
                <w:shd w:val="clear" w:color="auto" w:fill="FFFFFF"/>
              </w:rPr>
              <w:t> (personal, social, health and economic education</w:t>
            </w:r>
            <w:r w:rsidRPr="0095333C">
              <w:t xml:space="preserve">), </w:t>
            </w:r>
            <w:r>
              <w:t xml:space="preserve">and </w:t>
            </w:r>
            <w:r w:rsidRPr="0095333C">
              <w:t>any additional safeguarding training and the focus of that training is down to the i</w:t>
            </w:r>
            <w:r>
              <w:t>ndividual school to commission.</w:t>
            </w:r>
            <w:r w:rsidRPr="0095333C">
              <w:t xml:space="preserve"> A programme of protective behaviours work with schools is being developed by the Kingfisher Team for deployment in the 2018/19 academic year.</w:t>
            </w:r>
          </w:p>
          <w:p w:rsidR="0004599A" w:rsidRPr="0004599A" w:rsidRDefault="0004599A" w:rsidP="0004599A">
            <w:pPr>
              <w:spacing w:before="100" w:beforeAutospacing="1" w:after="100" w:afterAutospacing="1"/>
            </w:pPr>
            <w:r w:rsidRPr="0095333C">
              <w:t>Schools in Oxfordshire submit an annual safeguarding report to the LADO in which they are asked if safeguarding is c</w:t>
            </w:r>
            <w:r>
              <w:t xml:space="preserve">overed in the curriculum. They </w:t>
            </w:r>
            <w:r w:rsidRPr="0095333C">
              <w:t xml:space="preserve">can then add comments and provide further information on the </w:t>
            </w:r>
            <w:r>
              <w:t>training that has taken place.</w:t>
            </w:r>
          </w:p>
        </w:tc>
      </w:tr>
    </w:tbl>
    <w:p w:rsidR="0004599A" w:rsidRDefault="0004599A" w:rsidP="00C013BA">
      <w:pPr>
        <w:rPr>
          <w:rFonts w:cs="Arial"/>
          <w:b/>
        </w:rPr>
      </w:pPr>
    </w:p>
    <w:p w:rsidR="0004599A" w:rsidRDefault="0004599A" w:rsidP="0004599A">
      <w:pPr>
        <w:rPr>
          <w:rFonts w:cs="Arial"/>
          <w:b/>
        </w:rPr>
      </w:pPr>
      <w:r>
        <w:rPr>
          <w:rFonts w:cs="Arial"/>
          <w:b/>
        </w:rPr>
        <w:t>Modern Slavery Act Transparency Statement 2017/18</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599A" w:rsidRPr="00AC577F" w:rsidTr="00C94088">
        <w:tc>
          <w:tcPr>
            <w:tcW w:w="6629" w:type="dxa"/>
            <w:shd w:val="clear" w:color="auto" w:fill="D9D9D9"/>
            <w:vAlign w:val="center"/>
          </w:tcPr>
          <w:p w:rsidR="0004599A" w:rsidRPr="00AC577F" w:rsidRDefault="0004599A" w:rsidP="00C94088">
            <w:pPr>
              <w:rPr>
                <w:rFonts w:cs="Arial"/>
                <w:b/>
                <w:i/>
              </w:rPr>
            </w:pPr>
            <w:r w:rsidRPr="00AC577F">
              <w:rPr>
                <w:rFonts w:cs="Arial"/>
                <w:b/>
                <w:i/>
              </w:rPr>
              <w:t>Recommendation</w:t>
            </w:r>
          </w:p>
        </w:tc>
        <w:tc>
          <w:tcPr>
            <w:tcW w:w="1134" w:type="dxa"/>
            <w:shd w:val="clear" w:color="auto" w:fill="D9D9D9"/>
            <w:vAlign w:val="center"/>
          </w:tcPr>
          <w:p w:rsidR="0004599A" w:rsidRPr="00AC577F" w:rsidRDefault="0004599A" w:rsidP="00C94088">
            <w:pPr>
              <w:rPr>
                <w:rFonts w:cs="Arial"/>
                <w:b/>
                <w:i/>
              </w:rPr>
            </w:pPr>
            <w:r w:rsidRPr="00AC577F">
              <w:rPr>
                <w:rFonts w:cs="Arial"/>
                <w:b/>
                <w:i/>
              </w:rPr>
              <w:t xml:space="preserve">Agree? </w:t>
            </w:r>
          </w:p>
        </w:tc>
        <w:tc>
          <w:tcPr>
            <w:tcW w:w="6520" w:type="dxa"/>
            <w:shd w:val="clear" w:color="auto" w:fill="D9D9D9"/>
            <w:vAlign w:val="center"/>
          </w:tcPr>
          <w:p w:rsidR="0004599A" w:rsidRPr="00AC577F" w:rsidRDefault="0004599A" w:rsidP="00C94088">
            <w:pPr>
              <w:rPr>
                <w:rFonts w:cs="Arial"/>
                <w:b/>
                <w:i/>
              </w:rPr>
            </w:pPr>
            <w:r w:rsidRPr="00AC577F">
              <w:rPr>
                <w:rFonts w:cs="Arial"/>
                <w:b/>
                <w:i/>
              </w:rPr>
              <w:t>Comment</w:t>
            </w:r>
          </w:p>
        </w:tc>
      </w:tr>
      <w:tr w:rsidR="0004599A" w:rsidRPr="00AC577F" w:rsidTr="00C94088">
        <w:trPr>
          <w:trHeight w:val="305"/>
        </w:trPr>
        <w:tc>
          <w:tcPr>
            <w:tcW w:w="6629" w:type="dxa"/>
            <w:shd w:val="clear" w:color="auto" w:fill="auto"/>
          </w:tcPr>
          <w:p w:rsidR="0004599A" w:rsidRPr="00263AE8" w:rsidRDefault="0004599A" w:rsidP="00C94088">
            <w:pPr>
              <w:pStyle w:val="ListParagraph"/>
              <w:tabs>
                <w:tab w:val="left" w:pos="426"/>
              </w:tabs>
              <w:spacing w:after="120"/>
              <w:ind w:left="0"/>
              <w:contextualSpacing w:val="0"/>
            </w:pPr>
            <w:r w:rsidRPr="00263AE8">
              <w:t xml:space="preserve">That consideration is given to whether the Council’s Modern Slavery Transparency Statement should be amended to include reference to the Council’s wholly owned companies, highlighting that as separate entities they may also have their own statements.  </w:t>
            </w:r>
          </w:p>
          <w:p w:rsidR="0004599A" w:rsidRPr="00EE5837" w:rsidRDefault="0004599A" w:rsidP="00C94088">
            <w:pPr>
              <w:pStyle w:val="ListParagraph"/>
              <w:tabs>
                <w:tab w:val="left" w:pos="426"/>
              </w:tabs>
              <w:ind w:left="0"/>
              <w:contextualSpacing w:val="0"/>
            </w:pPr>
          </w:p>
        </w:tc>
        <w:tc>
          <w:tcPr>
            <w:tcW w:w="1134" w:type="dxa"/>
            <w:shd w:val="clear" w:color="auto" w:fill="auto"/>
          </w:tcPr>
          <w:p w:rsidR="0004599A" w:rsidRPr="00AC577F" w:rsidRDefault="0004599A" w:rsidP="00C94088">
            <w:pPr>
              <w:rPr>
                <w:rFonts w:cs="Arial"/>
              </w:rPr>
            </w:pPr>
            <w:r>
              <w:rPr>
                <w:rFonts w:cs="Arial"/>
              </w:rPr>
              <w:t>Yes</w:t>
            </w:r>
          </w:p>
        </w:tc>
        <w:tc>
          <w:tcPr>
            <w:tcW w:w="6520" w:type="dxa"/>
            <w:shd w:val="clear" w:color="auto" w:fill="auto"/>
          </w:tcPr>
          <w:p w:rsidR="0004599A" w:rsidRPr="00AC577F" w:rsidRDefault="0004599A" w:rsidP="00C94088">
            <w:pPr>
              <w:pStyle w:val="ListParagraph"/>
              <w:ind w:left="0"/>
              <w:contextualSpacing w:val="0"/>
              <w:rPr>
                <w:rFonts w:cs="Arial"/>
              </w:rPr>
            </w:pPr>
            <w:r>
              <w:rPr>
                <w:rFonts w:cs="Arial"/>
              </w:rPr>
              <w:t xml:space="preserve">Oxford Direct Services and Oxford City Housing Ltd – Oxford City Council’s wholly owned companies have agreed to adopt Oxford City Council’s Modern Slavery Transparency </w:t>
            </w:r>
            <w:r w:rsidRPr="00783BCA">
              <w:rPr>
                <w:rFonts w:cs="Arial"/>
              </w:rPr>
              <w:t>Statement within their policies once approved by their individual Boards through their own processes</w:t>
            </w:r>
            <w:r>
              <w:rPr>
                <w:rFonts w:cs="Arial"/>
              </w:rPr>
              <w:t xml:space="preserve">. </w:t>
            </w:r>
            <w:r w:rsidRPr="00783BCA">
              <w:rPr>
                <w:rFonts w:cs="Arial"/>
              </w:rPr>
              <w:t xml:space="preserve">Reference will be made to the Council’s </w:t>
            </w:r>
            <w:r>
              <w:rPr>
                <w:rFonts w:cs="Arial"/>
              </w:rPr>
              <w:t xml:space="preserve">wholly owned </w:t>
            </w:r>
            <w:r w:rsidRPr="00783BCA">
              <w:rPr>
                <w:rFonts w:cs="Arial"/>
              </w:rPr>
              <w:t>companies in the Council’s Modern Slavery Statement.</w:t>
            </w:r>
            <w:r w:rsidRPr="00157229">
              <w:rPr>
                <w:rFonts w:cs="Arial"/>
                <w:color w:val="FF0000"/>
              </w:rPr>
              <w:t xml:space="preserve"> </w:t>
            </w:r>
          </w:p>
        </w:tc>
      </w:tr>
    </w:tbl>
    <w:p w:rsidR="0004599A" w:rsidRDefault="0004599A" w:rsidP="0004599A">
      <w:pPr>
        <w:rPr>
          <w:rFonts w:cs="Arial"/>
          <w:b/>
        </w:rPr>
      </w:pPr>
      <w:bookmarkStart w:id="0" w:name="_GoBack"/>
      <w:bookmarkEnd w:id="0"/>
    </w:p>
    <w:sectPr w:rsidR="0004599A" w:rsidSect="005B00CE">
      <w:pgSz w:w="16838" w:h="11906" w:orient="landscape"/>
      <w:pgMar w:top="567" w:right="1418" w:bottom="567"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C8" w:rsidRDefault="006151C8" w:rsidP="00770820">
      <w:r>
        <w:separator/>
      </w:r>
    </w:p>
  </w:endnote>
  <w:endnote w:type="continuationSeparator" w:id="0">
    <w:p w:rsidR="006151C8" w:rsidRDefault="006151C8"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C8" w:rsidRDefault="006151C8" w:rsidP="00770820">
      <w:r>
        <w:separator/>
      </w:r>
    </w:p>
  </w:footnote>
  <w:footnote w:type="continuationSeparator" w:id="0">
    <w:p w:rsidR="006151C8" w:rsidRDefault="006151C8"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3558F"/>
    <w:multiLevelType w:val="hybridMultilevel"/>
    <w:tmpl w:val="21D08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02273B"/>
    <w:multiLevelType w:val="hybridMultilevel"/>
    <w:tmpl w:val="242AC11A"/>
    <w:lvl w:ilvl="0" w:tplc="025A9F9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000E7"/>
    <w:multiLevelType w:val="hybridMultilevel"/>
    <w:tmpl w:val="8F2AC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7332D66"/>
    <w:multiLevelType w:val="hybridMultilevel"/>
    <w:tmpl w:val="54BC1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D17F8D"/>
    <w:multiLevelType w:val="hybridMultilevel"/>
    <w:tmpl w:val="41E8F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8365C6"/>
    <w:multiLevelType w:val="multilevel"/>
    <w:tmpl w:val="EF4254A8"/>
    <w:lvl w:ilvl="0">
      <w:start w:val="1"/>
      <w:numFmt w:val="decimal"/>
      <w:pStyle w:val="FooterChar"/>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16"/>
  </w:num>
  <w:num w:numId="5">
    <w:abstractNumId w:val="8"/>
  </w:num>
  <w:num w:numId="6">
    <w:abstractNumId w:val="20"/>
  </w:num>
  <w:num w:numId="7">
    <w:abstractNumId w:val="0"/>
  </w:num>
  <w:num w:numId="8">
    <w:abstractNumId w:val="15"/>
  </w:num>
  <w:num w:numId="9">
    <w:abstractNumId w:val="13"/>
  </w:num>
  <w:num w:numId="10">
    <w:abstractNumId w:val="3"/>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12"/>
  </w:num>
  <w:num w:numId="16">
    <w:abstractNumId w:val="11"/>
  </w:num>
  <w:num w:numId="17">
    <w:abstractNumId w:val="5"/>
  </w:num>
  <w:num w:numId="18">
    <w:abstractNumId w:val="4"/>
  </w:num>
  <w:num w:numId="19">
    <w:abstractNumId w:val="1"/>
  </w:num>
  <w:num w:numId="20">
    <w:abstractNumId w:val="18"/>
    <w:lvlOverride w:ilvl="0">
      <w:lvl w:ilvl="0">
        <w:start w:val="1"/>
        <w:numFmt w:val="decimal"/>
        <w:pStyle w:val="FooterChar"/>
        <w:lvlText w:val="%1."/>
        <w:lvlJc w:val="left"/>
        <w:pPr>
          <w:ind w:left="360" w:hanging="360"/>
        </w:pPr>
        <w:rPr>
          <w:rFonts w:ascii="Arial" w:hAnsi="Arial"/>
          <w:b w:val="0"/>
          <w:color w:val="000000"/>
          <w:sz w:val="24"/>
        </w:rPr>
      </w:lvl>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4599A"/>
    <w:rsid w:val="000651BE"/>
    <w:rsid w:val="0007474A"/>
    <w:rsid w:val="000929D5"/>
    <w:rsid w:val="000B4310"/>
    <w:rsid w:val="000B7CE9"/>
    <w:rsid w:val="00102AB9"/>
    <w:rsid w:val="0011346E"/>
    <w:rsid w:val="00162911"/>
    <w:rsid w:val="001A3381"/>
    <w:rsid w:val="001C08EF"/>
    <w:rsid w:val="001D6BCA"/>
    <w:rsid w:val="001F03AC"/>
    <w:rsid w:val="00212E63"/>
    <w:rsid w:val="00220AF4"/>
    <w:rsid w:val="00290F45"/>
    <w:rsid w:val="002C31B0"/>
    <w:rsid w:val="002E7845"/>
    <w:rsid w:val="003236B3"/>
    <w:rsid w:val="0033084B"/>
    <w:rsid w:val="0034054D"/>
    <w:rsid w:val="0034734F"/>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2637E"/>
    <w:rsid w:val="005B00CE"/>
    <w:rsid w:val="005B2661"/>
    <w:rsid w:val="005C4344"/>
    <w:rsid w:val="00612FE5"/>
    <w:rsid w:val="006151C8"/>
    <w:rsid w:val="00645665"/>
    <w:rsid w:val="0066079B"/>
    <w:rsid w:val="006766A4"/>
    <w:rsid w:val="00704BAF"/>
    <w:rsid w:val="00735421"/>
    <w:rsid w:val="00737DEE"/>
    <w:rsid w:val="0075339C"/>
    <w:rsid w:val="00765461"/>
    <w:rsid w:val="00770820"/>
    <w:rsid w:val="0077287C"/>
    <w:rsid w:val="007908F4"/>
    <w:rsid w:val="007A1C4D"/>
    <w:rsid w:val="0080740F"/>
    <w:rsid w:val="0081179F"/>
    <w:rsid w:val="00816994"/>
    <w:rsid w:val="00835092"/>
    <w:rsid w:val="008520BB"/>
    <w:rsid w:val="0087223B"/>
    <w:rsid w:val="00896B8B"/>
    <w:rsid w:val="008A22C6"/>
    <w:rsid w:val="008E4BCD"/>
    <w:rsid w:val="009318D7"/>
    <w:rsid w:val="009354C7"/>
    <w:rsid w:val="00A4263F"/>
    <w:rsid w:val="00A6694D"/>
    <w:rsid w:val="00AD57AD"/>
    <w:rsid w:val="00B02ADE"/>
    <w:rsid w:val="00B0515E"/>
    <w:rsid w:val="00B7081C"/>
    <w:rsid w:val="00B7537D"/>
    <w:rsid w:val="00BA23D3"/>
    <w:rsid w:val="00BD58F7"/>
    <w:rsid w:val="00BF6979"/>
    <w:rsid w:val="00C013BA"/>
    <w:rsid w:val="00C07F80"/>
    <w:rsid w:val="00C32C6A"/>
    <w:rsid w:val="00C5256F"/>
    <w:rsid w:val="00C92E79"/>
    <w:rsid w:val="00D07958"/>
    <w:rsid w:val="00D53832"/>
    <w:rsid w:val="00DC3603"/>
    <w:rsid w:val="00DC685F"/>
    <w:rsid w:val="00DE75D6"/>
    <w:rsid w:val="00E234D4"/>
    <w:rsid w:val="00E336AE"/>
    <w:rsid w:val="00E46E12"/>
    <w:rsid w:val="00E87C8F"/>
    <w:rsid w:val="00EB3BF9"/>
    <w:rsid w:val="00ED7E6B"/>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ListParagraphChar">
    <w:name w:val="List Paragraph Char"/>
    <w:link w:val="ListParagraph"/>
    <w:uiPriority w:val="34"/>
    <w:locked/>
    <w:rsid w:val="0004599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link w:val="ListParagraphChar"/>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 w:type="character" w:customStyle="1" w:styleId="ListParagraphChar">
    <w:name w:val="List Paragraph Char"/>
    <w:link w:val="ListParagraph"/>
    <w:uiPriority w:val="34"/>
    <w:locked/>
    <w:rsid w:val="0004599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0D5E-C167-4D98-815D-23551AA3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1FF5DD79</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srobinson</cp:lastModifiedBy>
  <cp:revision>2</cp:revision>
  <dcterms:created xsi:type="dcterms:W3CDTF">2018-06-25T11:29:00Z</dcterms:created>
  <dcterms:modified xsi:type="dcterms:W3CDTF">2018-06-25T11:29:00Z</dcterms:modified>
</cp:coreProperties>
</file>